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text" w:horzAnchor="page" w:tblpX="1586" w:tblpY="66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0" w:hRule="atLeast"/>
        </w:trPr>
        <w:tc>
          <w:tcPr>
            <w:tcW w:w="9215" w:type="dxa"/>
            <w:vAlign w:val="top"/>
          </w:tcPr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  <w:t>关联企业情况表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应提供关联关系企业情况，包括但不限于以下内容：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单位负责人为同一人的不同单位名单：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存在控股、管理关系的不同单位名单：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应向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如实披露与本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存在关联关系的其他不同单位。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人有权取消关联关系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参与本项目的资格或重新组织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应如实填报此表，否则因其影响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公正性的，其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资格无效，并视为弄虚作假。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（单位公章、法定代表人名章）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不存在以上某种情况，请在其后填写“无”。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附表3：</w:t>
      </w:r>
    </w:p>
    <w:p>
      <w:pPr>
        <w:pStyle w:val="8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-42" w:rightChars="-20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4C547C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584810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cp:lastPrinted>2023-02-08T17:37:00Z</cp:lastPrinted>
  <dcterms:modified xsi:type="dcterms:W3CDTF">2025-12-26T06:32:37Z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